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439" w:rsidRDefault="006F1439" w:rsidP="006F1439">
      <w:pPr>
        <w:pStyle w:val="NormaleWeb"/>
        <w:spacing w:before="0" w:beforeAutospacing="0" w:after="200" w:afterAutospacing="0" w:line="276" w:lineRule="auto"/>
        <w:ind w:right="566" w:firstLine="709"/>
        <w:jc w:val="both"/>
        <w:rPr>
          <w:i/>
          <w:sz w:val="28"/>
          <w:szCs w:val="28"/>
        </w:rPr>
      </w:pPr>
      <w:r w:rsidRPr="00C03EB3">
        <w:rPr>
          <w:i/>
          <w:sz w:val="28"/>
          <w:szCs w:val="28"/>
        </w:rPr>
        <w:t xml:space="preserve">Prime valutazioni circa la portata applicativa dell’art. 2 del D.lgs. 4 marzo 2014 n. 39 </w:t>
      </w:r>
    </w:p>
    <w:p w:rsidR="006F1439" w:rsidRDefault="006F1439" w:rsidP="006F1439">
      <w:pPr>
        <w:pStyle w:val="NormaleWeb"/>
        <w:spacing w:before="0" w:beforeAutospacing="0" w:after="200" w:afterAutospacing="0" w:line="276" w:lineRule="auto"/>
        <w:ind w:right="566" w:firstLine="709"/>
        <w:jc w:val="both"/>
      </w:pPr>
    </w:p>
    <w:p w:rsidR="006F1439" w:rsidRPr="00FF2B8F" w:rsidRDefault="006F1439" w:rsidP="006F1439">
      <w:pPr>
        <w:pStyle w:val="NormaleWeb"/>
        <w:spacing w:before="0" w:beforeAutospacing="0" w:after="200" w:afterAutospacing="0" w:line="276" w:lineRule="auto"/>
        <w:ind w:right="566" w:firstLine="709"/>
        <w:jc w:val="both"/>
        <w:rPr>
          <w:i/>
          <w:sz w:val="28"/>
          <w:szCs w:val="28"/>
        </w:rPr>
      </w:pPr>
      <w:r>
        <w:t xml:space="preserve">E’ stata fissata per il prossimo 6 aprile l’entrata in vigore del D. </w:t>
      </w:r>
      <w:proofErr w:type="spellStart"/>
      <w:r>
        <w:t>lgs</w:t>
      </w:r>
      <w:proofErr w:type="spellEnd"/>
      <w:r>
        <w:t>. 24 marzo 2014, n. 39, recante norme per l’ “Attuazione della direttiva 2011/93/UE relativa alla lotta contro l’abuso e lo sfruttamento sessuale dei minori e la pornografia minorile, che sostituisce la decisione quadro 2004/68/GAI”. (La direttiva in realtà è la n. 2011/92/UE).</w:t>
      </w:r>
    </w:p>
    <w:p w:rsidR="006F1439" w:rsidRDefault="006F1439" w:rsidP="006F1439">
      <w:pPr>
        <w:pStyle w:val="NormaleWeb"/>
        <w:spacing w:before="0" w:beforeAutospacing="0" w:after="200" w:afterAutospacing="0" w:line="276" w:lineRule="auto"/>
        <w:ind w:right="566" w:firstLine="708"/>
        <w:jc w:val="both"/>
      </w:pPr>
      <w:r w:rsidRPr="000476DB">
        <w:t xml:space="preserve">L’art. </w:t>
      </w:r>
      <w:r>
        <w:t xml:space="preserve">2 del D. </w:t>
      </w:r>
      <w:proofErr w:type="spellStart"/>
      <w:r>
        <w:t>lgs</w:t>
      </w:r>
      <w:proofErr w:type="spellEnd"/>
      <w:r>
        <w:t xml:space="preserve">.. 39/2014 cit. introduce alcune modifiche al </w:t>
      </w:r>
      <w:proofErr w:type="spellStart"/>
      <w:r>
        <w:t>d.P.R.</w:t>
      </w:r>
      <w:proofErr w:type="spellEnd"/>
      <w:r>
        <w:t xml:space="preserve"> n. 313/2002, in particolare prevedendo l’inserimento dell’art. </w:t>
      </w:r>
      <w:r w:rsidRPr="000476DB">
        <w:t xml:space="preserve">25 </w:t>
      </w:r>
      <w:r w:rsidRPr="000476DB">
        <w:rPr>
          <w:i/>
        </w:rPr>
        <w:t>bis</w:t>
      </w:r>
      <w:r>
        <w:t>,</w:t>
      </w:r>
      <w:r>
        <w:rPr>
          <w:i/>
        </w:rPr>
        <w:t xml:space="preserve"> </w:t>
      </w:r>
      <w:r>
        <w:t>che così recita:</w:t>
      </w:r>
    </w:p>
    <w:p w:rsidR="006F1439" w:rsidRPr="000476DB" w:rsidRDefault="006F1439" w:rsidP="006F1439">
      <w:pPr>
        <w:pStyle w:val="NormaleWeb"/>
        <w:spacing w:before="0" w:beforeAutospacing="0" w:after="200" w:afterAutospacing="0" w:line="276" w:lineRule="auto"/>
        <w:ind w:right="566" w:firstLine="709"/>
        <w:jc w:val="both"/>
      </w:pPr>
      <w:r w:rsidRPr="000476DB">
        <w:t xml:space="preserve"> “1. Il certificato penale del casellario giudiziale di cui all'articolo 25 deve essere richiesto dal soggetto che intenda impiegare al lavoro una persona per lo svolgimento di attività professionali o attività volontarie organizzate che comportino contatti diretti e regolari con minori, al fine di verificare l'esistenza di condanne per taluno dei reati di cui agli articoli 600-bis, 600-ter, 600-quater, 600-quinquies e 609-undecies del codice penale, ovvero l'irrogazione di sanzioni </w:t>
      </w:r>
      <w:proofErr w:type="spellStart"/>
      <w:r w:rsidRPr="000476DB">
        <w:t>interdittive</w:t>
      </w:r>
      <w:proofErr w:type="spellEnd"/>
      <w:r w:rsidRPr="000476DB">
        <w:t xml:space="preserve"> all'esercizio di attività che comportino contatti</w:t>
      </w:r>
      <w:r>
        <w:t xml:space="preserve"> diretti e regolari con minori</w:t>
      </w:r>
      <w:r w:rsidRPr="000476DB">
        <w:t>.</w:t>
      </w:r>
    </w:p>
    <w:p w:rsidR="006F1439" w:rsidRDefault="006F1439" w:rsidP="006F1439">
      <w:pPr>
        <w:pStyle w:val="NormaleWeb"/>
        <w:spacing w:before="0" w:beforeAutospacing="0" w:after="200" w:afterAutospacing="0" w:line="276" w:lineRule="auto"/>
        <w:ind w:right="566" w:firstLine="709"/>
        <w:jc w:val="both"/>
      </w:pPr>
      <w:r w:rsidRPr="000476DB">
        <w:t>2. Il datore di lavoro che non adempie all'obbligo di cui all'articolo 25-bis del decreto del Presidente della Repubblica 14 novembre, n. 313, è soggetto alla sanzione amministrativa pecuniaria del pagamento di una somma da euro 10.000,00 a euro 15.000,00”.</w:t>
      </w:r>
    </w:p>
    <w:p w:rsidR="006F1439" w:rsidRDefault="006F1439" w:rsidP="006F1439">
      <w:pPr>
        <w:pStyle w:val="NormaleWeb"/>
        <w:spacing w:before="0" w:beforeAutospacing="0" w:after="200" w:afterAutospacing="0" w:line="276" w:lineRule="auto"/>
        <w:ind w:right="566" w:firstLine="709"/>
        <w:jc w:val="both"/>
      </w:pPr>
      <w:bookmarkStart w:id="0" w:name="_GoBack"/>
      <w:r>
        <w:t xml:space="preserve">Numerose diocesi hanno chiesto al nostro Osservatorio giuridico-legislativo un parere circa l’ambito applicativo della disposizione appena richiamata, con particolare riferimento alla condizione e all’attività degli enti ecclesiastici. </w:t>
      </w:r>
    </w:p>
    <w:bookmarkEnd w:id="0"/>
    <w:p w:rsidR="006F1439" w:rsidRDefault="006F1439" w:rsidP="006F1439">
      <w:pPr>
        <w:pStyle w:val="NormaleWeb"/>
        <w:spacing w:before="0" w:beforeAutospacing="0" w:after="200" w:afterAutospacing="0" w:line="276" w:lineRule="auto"/>
        <w:ind w:right="566" w:firstLine="709"/>
        <w:jc w:val="both"/>
      </w:pPr>
      <w:r>
        <w:t>All’esito di un primo esame, sembra possibile in via di interpretazione prospettare la seguente lettura.</w:t>
      </w:r>
    </w:p>
    <w:p w:rsidR="006F1439" w:rsidRDefault="006F1439" w:rsidP="006F1439">
      <w:pPr>
        <w:ind w:right="566" w:firstLine="709"/>
        <w:jc w:val="both"/>
        <w:rPr>
          <w:rFonts w:ascii="Times New Roman" w:hAnsi="Times New Roman" w:cs="Times New Roman"/>
          <w:sz w:val="24"/>
          <w:szCs w:val="24"/>
        </w:rPr>
      </w:pPr>
      <w:r>
        <w:rPr>
          <w:rFonts w:ascii="Times New Roman" w:hAnsi="Times New Roman" w:cs="Times New Roman"/>
          <w:sz w:val="24"/>
          <w:szCs w:val="24"/>
        </w:rPr>
        <w:t xml:space="preserve">La formulazione del primo comma, pur ispirata all’esigenza condivisa di evitare che </w:t>
      </w:r>
      <w:r w:rsidRPr="0033308B">
        <w:rPr>
          <w:rFonts w:ascii="Times New Roman" w:hAnsi="Times New Roman" w:cs="Times New Roman"/>
          <w:sz w:val="24"/>
          <w:szCs w:val="24"/>
        </w:rPr>
        <w:t>soggetti già condannati per specifi</w:t>
      </w:r>
      <w:r>
        <w:rPr>
          <w:rFonts w:ascii="Times New Roman" w:hAnsi="Times New Roman" w:cs="Times New Roman"/>
          <w:sz w:val="24"/>
          <w:szCs w:val="24"/>
        </w:rPr>
        <w:t xml:space="preserve">ci reati ai danni di minori </w:t>
      </w:r>
      <w:r w:rsidRPr="0033308B">
        <w:rPr>
          <w:rFonts w:ascii="Times New Roman" w:hAnsi="Times New Roman" w:cs="Times New Roman"/>
          <w:sz w:val="24"/>
          <w:szCs w:val="24"/>
        </w:rPr>
        <w:t>siano “</w:t>
      </w:r>
      <w:proofErr w:type="spellStart"/>
      <w:r w:rsidRPr="0033308B">
        <w:rPr>
          <w:rFonts w:ascii="Times New Roman" w:hAnsi="Times New Roman" w:cs="Times New Roman"/>
          <w:sz w:val="24"/>
          <w:szCs w:val="24"/>
        </w:rPr>
        <w:t>lavorativamente</w:t>
      </w:r>
      <w:proofErr w:type="spellEnd"/>
      <w:r w:rsidRPr="0033308B">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33308B">
        <w:rPr>
          <w:rFonts w:ascii="Times New Roman" w:hAnsi="Times New Roman" w:cs="Times New Roman"/>
          <w:sz w:val="24"/>
          <w:szCs w:val="24"/>
        </w:rPr>
        <w:t xml:space="preserve">contatto con </w:t>
      </w:r>
      <w:r>
        <w:rPr>
          <w:rFonts w:ascii="Times New Roman" w:hAnsi="Times New Roman" w:cs="Times New Roman"/>
          <w:sz w:val="24"/>
          <w:szCs w:val="24"/>
        </w:rPr>
        <w:t xml:space="preserve">i </w:t>
      </w:r>
      <w:r w:rsidRPr="0033308B">
        <w:rPr>
          <w:rFonts w:ascii="Times New Roman" w:hAnsi="Times New Roman" w:cs="Times New Roman"/>
          <w:sz w:val="24"/>
          <w:szCs w:val="24"/>
        </w:rPr>
        <w:t>minori</w:t>
      </w:r>
      <w:r>
        <w:rPr>
          <w:rFonts w:ascii="Times New Roman" w:hAnsi="Times New Roman" w:cs="Times New Roman"/>
          <w:sz w:val="24"/>
          <w:szCs w:val="24"/>
        </w:rPr>
        <w:t xml:space="preserve"> stessi,</w:t>
      </w:r>
      <w:r w:rsidRPr="0033308B">
        <w:rPr>
          <w:rFonts w:ascii="Times New Roman" w:hAnsi="Times New Roman" w:cs="Times New Roman"/>
          <w:sz w:val="24"/>
          <w:szCs w:val="24"/>
        </w:rPr>
        <w:t xml:space="preserve"> </w:t>
      </w:r>
      <w:r>
        <w:rPr>
          <w:rFonts w:ascii="Times New Roman" w:hAnsi="Times New Roman" w:cs="Times New Roman"/>
          <w:sz w:val="24"/>
          <w:szCs w:val="24"/>
        </w:rPr>
        <w:t xml:space="preserve"> in ragione del suo tenore letterale suscita tuttavia alcune incertezze interpretative e potrebbe comportare notevoli difficoltà applicative.</w:t>
      </w:r>
    </w:p>
    <w:p w:rsidR="006F1439" w:rsidRDefault="006F1439" w:rsidP="006F1439">
      <w:pPr>
        <w:ind w:right="566" w:firstLine="709"/>
        <w:jc w:val="both"/>
        <w:rPr>
          <w:rFonts w:ascii="Times New Roman" w:hAnsi="Times New Roman" w:cs="Times New Roman"/>
          <w:sz w:val="24"/>
          <w:szCs w:val="24"/>
        </w:rPr>
      </w:pPr>
      <w:r>
        <w:rPr>
          <w:rFonts w:ascii="Times New Roman" w:hAnsi="Times New Roman" w:cs="Times New Roman"/>
          <w:sz w:val="24"/>
          <w:szCs w:val="24"/>
        </w:rPr>
        <w:t xml:space="preserve">Decisiva ai fini di un corretto inquadramento pare l’interpretazione dell’espressione “impiegare al lavoro”. Al riguardo, sembra potersi ritenere che tale espressione escluda dall’ambito di applicazione della norma tutta una serie di rapporti che non possono propriamente qualificarsi come lavorativi e che trovano frequente riscontro nell’ambito degli enti ecclesiastici, quali ad esempio quelli che coinvolgono i soggetti impegnati </w:t>
      </w:r>
      <w:r w:rsidRPr="0033308B">
        <w:rPr>
          <w:rFonts w:ascii="Times New Roman" w:hAnsi="Times New Roman" w:cs="Times New Roman"/>
          <w:sz w:val="24"/>
          <w:szCs w:val="24"/>
        </w:rPr>
        <w:t>nelle attività di catechesi ovvero di educazione cristiana</w:t>
      </w:r>
      <w:r>
        <w:rPr>
          <w:rFonts w:ascii="Times New Roman" w:hAnsi="Times New Roman" w:cs="Times New Roman"/>
          <w:sz w:val="24"/>
          <w:szCs w:val="24"/>
        </w:rPr>
        <w:t xml:space="preserve"> e simili. </w:t>
      </w:r>
    </w:p>
    <w:p w:rsidR="006F1439" w:rsidRDefault="006F1439" w:rsidP="006F1439">
      <w:pPr>
        <w:ind w:right="566" w:firstLine="709"/>
        <w:jc w:val="both"/>
        <w:rPr>
          <w:rFonts w:ascii="Times New Roman" w:hAnsi="Times New Roman" w:cs="Times New Roman"/>
          <w:sz w:val="24"/>
          <w:szCs w:val="24"/>
        </w:rPr>
      </w:pPr>
      <w:r>
        <w:rPr>
          <w:rFonts w:ascii="Times New Roman" w:hAnsi="Times New Roman" w:cs="Times New Roman"/>
          <w:sz w:val="24"/>
          <w:szCs w:val="24"/>
        </w:rPr>
        <w:t>In senso contrario,</w:t>
      </w:r>
      <w:r w:rsidRPr="0033308B">
        <w:rPr>
          <w:rFonts w:ascii="Times New Roman" w:hAnsi="Times New Roman" w:cs="Times New Roman"/>
          <w:sz w:val="24"/>
          <w:szCs w:val="24"/>
        </w:rPr>
        <w:t xml:space="preserve"> non </w:t>
      </w:r>
      <w:r>
        <w:rPr>
          <w:rFonts w:ascii="Times New Roman" w:hAnsi="Times New Roman" w:cs="Times New Roman"/>
          <w:sz w:val="24"/>
          <w:szCs w:val="24"/>
        </w:rPr>
        <w:t xml:space="preserve">sembra valere </w:t>
      </w:r>
      <w:r w:rsidRPr="0033308B">
        <w:rPr>
          <w:rFonts w:ascii="Times New Roman" w:hAnsi="Times New Roman" w:cs="Times New Roman"/>
          <w:sz w:val="24"/>
          <w:szCs w:val="24"/>
        </w:rPr>
        <w:t>il rimando alle “attività volontarie organizzate”</w:t>
      </w:r>
      <w:r>
        <w:rPr>
          <w:rFonts w:ascii="Times New Roman" w:hAnsi="Times New Roman" w:cs="Times New Roman"/>
          <w:sz w:val="24"/>
          <w:szCs w:val="24"/>
        </w:rPr>
        <w:t>,</w:t>
      </w:r>
      <w:r w:rsidRPr="0033308B">
        <w:rPr>
          <w:rFonts w:ascii="Times New Roman" w:hAnsi="Times New Roman" w:cs="Times New Roman"/>
          <w:sz w:val="24"/>
          <w:szCs w:val="24"/>
        </w:rPr>
        <w:t xml:space="preserve"> </w:t>
      </w:r>
      <w:r>
        <w:rPr>
          <w:rFonts w:ascii="Times New Roman" w:hAnsi="Times New Roman" w:cs="Times New Roman"/>
          <w:sz w:val="24"/>
          <w:szCs w:val="24"/>
        </w:rPr>
        <w:t xml:space="preserve">in quanto anche rispetto a tali attività sussiste la necessità di </w:t>
      </w:r>
      <w:r w:rsidRPr="0033308B">
        <w:rPr>
          <w:rFonts w:ascii="Times New Roman" w:hAnsi="Times New Roman" w:cs="Times New Roman"/>
          <w:sz w:val="24"/>
          <w:szCs w:val="24"/>
        </w:rPr>
        <w:t>un rapporto lavorativo</w:t>
      </w:r>
      <w:r>
        <w:rPr>
          <w:rFonts w:ascii="Times New Roman" w:hAnsi="Times New Roman" w:cs="Times New Roman"/>
          <w:sz w:val="24"/>
          <w:szCs w:val="24"/>
        </w:rPr>
        <w:t xml:space="preserve"> quale presupposto per l’insorgenza dell’obbligo a carico del soggetto “datore di lavoro” </w:t>
      </w:r>
      <w:r>
        <w:rPr>
          <w:rFonts w:ascii="Times New Roman" w:hAnsi="Times New Roman" w:cs="Times New Roman"/>
          <w:sz w:val="24"/>
          <w:szCs w:val="24"/>
        </w:rPr>
        <w:lastRenderedPageBreak/>
        <w:t xml:space="preserve">(espressione, quest’ultima, significativamente utilizzata tanto nell’art. 10, n. 2 della direttiva 2011/92/UE quanto nell’art. 25 </w:t>
      </w:r>
      <w:r w:rsidRPr="00C116B5">
        <w:rPr>
          <w:rFonts w:ascii="Times New Roman" w:hAnsi="Times New Roman" w:cs="Times New Roman"/>
          <w:i/>
          <w:sz w:val="24"/>
          <w:szCs w:val="24"/>
        </w:rPr>
        <w:t>bis</w:t>
      </w:r>
      <w:r>
        <w:rPr>
          <w:rFonts w:ascii="Times New Roman" w:hAnsi="Times New Roman" w:cs="Times New Roman"/>
          <w:sz w:val="24"/>
          <w:szCs w:val="24"/>
        </w:rPr>
        <w:t xml:space="preserve">, comma 2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N. 39/2014)</w:t>
      </w:r>
      <w:r w:rsidRPr="0033308B">
        <w:rPr>
          <w:rFonts w:ascii="Times New Roman" w:hAnsi="Times New Roman" w:cs="Times New Roman"/>
          <w:sz w:val="24"/>
          <w:szCs w:val="24"/>
        </w:rPr>
        <w:t xml:space="preserve">. </w:t>
      </w:r>
    </w:p>
    <w:p w:rsidR="006F1439" w:rsidRDefault="006F1439" w:rsidP="006F1439">
      <w:pPr>
        <w:ind w:right="566" w:firstLine="709"/>
        <w:jc w:val="both"/>
        <w:rPr>
          <w:rFonts w:ascii="Times New Roman" w:hAnsi="Times New Roman" w:cs="Times New Roman"/>
          <w:sz w:val="24"/>
          <w:szCs w:val="24"/>
        </w:rPr>
      </w:pPr>
      <w:r>
        <w:rPr>
          <w:rFonts w:ascii="Times New Roman" w:hAnsi="Times New Roman" w:cs="Times New Roman"/>
          <w:sz w:val="24"/>
          <w:szCs w:val="24"/>
        </w:rPr>
        <w:t xml:space="preserve">Naturalmente, l’assenza di un obbligo giuridico in senso stretto non esclude la possibilità/opportunità di richiedere ugualmente anche in tali ipotesi il certificato penale del casellario giudiziario. </w:t>
      </w:r>
    </w:p>
    <w:p w:rsidR="006F1439" w:rsidRDefault="006F1439" w:rsidP="006F1439">
      <w:pPr>
        <w:spacing w:after="0"/>
        <w:ind w:right="566" w:firstLine="709"/>
        <w:jc w:val="both"/>
        <w:rPr>
          <w:rFonts w:ascii="Times New Roman" w:hAnsi="Times New Roman" w:cs="Times New Roman"/>
          <w:sz w:val="24"/>
          <w:szCs w:val="24"/>
        </w:rPr>
      </w:pPr>
      <w:r>
        <w:rPr>
          <w:rFonts w:ascii="Times New Roman" w:hAnsi="Times New Roman" w:cs="Times New Roman"/>
          <w:sz w:val="24"/>
          <w:szCs w:val="24"/>
        </w:rPr>
        <w:t>Altra questione di rilievo è se l’obbligo in questione riguardi i soli rapporti “costituendi” o si estenda anche a quelli già costituiti. La portata dell’</w:t>
      </w:r>
      <w:r w:rsidRPr="00C8428D">
        <w:rPr>
          <w:rFonts w:ascii="Times New Roman" w:hAnsi="Times New Roman" w:cs="Times New Roman"/>
          <w:sz w:val="24"/>
          <w:szCs w:val="24"/>
        </w:rPr>
        <w:t>espressione</w:t>
      </w:r>
      <w:r>
        <w:rPr>
          <w:rFonts w:ascii="Times New Roman" w:hAnsi="Times New Roman" w:cs="Times New Roman"/>
          <w:sz w:val="24"/>
          <w:szCs w:val="24"/>
        </w:rPr>
        <w:t xml:space="preserve"> “soggetto che int</w:t>
      </w:r>
      <w:r w:rsidRPr="00C8428D">
        <w:rPr>
          <w:rFonts w:ascii="Times New Roman" w:hAnsi="Times New Roman" w:cs="Times New Roman"/>
          <w:sz w:val="24"/>
          <w:szCs w:val="24"/>
        </w:rPr>
        <w:t>enda impiegare al lavoro”</w:t>
      </w:r>
      <w:r>
        <w:rPr>
          <w:rFonts w:ascii="Times New Roman" w:hAnsi="Times New Roman" w:cs="Times New Roman"/>
          <w:sz w:val="24"/>
          <w:szCs w:val="24"/>
        </w:rPr>
        <w:t xml:space="preserve"> non è chiara; da un lato, su un piano logico e letterale si potrebbe ritenere che l’adempimento riguardi entrambi tali tipi di rapporto; dall’altro lato, alcuni indici testuali inducono a ritenere (o comunque sembrano non escludere la possibilità) che detta espressione possa essere interpretata nel senso di limitare tale obbligo solo ai rapporti “costituendi” (cfr. in tal senso considerando n. 40 e art. 10, n. 2 Direttiva 2011/92/UE).</w:t>
      </w:r>
    </w:p>
    <w:p w:rsidR="006F1439" w:rsidRDefault="006F1439" w:rsidP="006F1439">
      <w:pPr>
        <w:spacing w:after="0"/>
        <w:ind w:right="566" w:firstLine="709"/>
        <w:jc w:val="both"/>
        <w:rPr>
          <w:rFonts w:ascii="Times New Roman" w:hAnsi="Times New Roman" w:cs="Times New Roman"/>
          <w:sz w:val="24"/>
          <w:szCs w:val="24"/>
        </w:rPr>
      </w:pPr>
    </w:p>
    <w:p w:rsidR="006F1439" w:rsidRDefault="006F1439" w:rsidP="006F1439">
      <w:pPr>
        <w:spacing w:after="0"/>
        <w:ind w:right="566" w:firstLine="709"/>
        <w:jc w:val="both"/>
        <w:rPr>
          <w:rFonts w:ascii="Times New Roman" w:hAnsi="Times New Roman" w:cs="Times New Roman"/>
          <w:sz w:val="24"/>
          <w:szCs w:val="24"/>
        </w:rPr>
      </w:pPr>
    </w:p>
    <w:p w:rsidR="006F1439" w:rsidRDefault="006F1439" w:rsidP="006F1439">
      <w:pPr>
        <w:spacing w:after="0"/>
        <w:ind w:right="566"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F1439" w:rsidRPr="0033308B" w:rsidRDefault="006F1439" w:rsidP="006F1439">
      <w:pPr>
        <w:ind w:right="566" w:firstLine="709"/>
        <w:jc w:val="both"/>
        <w:rPr>
          <w:rFonts w:ascii="Times New Roman" w:hAnsi="Times New Roman" w:cs="Times New Roman"/>
          <w:sz w:val="24"/>
          <w:szCs w:val="24"/>
        </w:rPr>
      </w:pPr>
      <w:r>
        <w:rPr>
          <w:rFonts w:ascii="Times New Roman" w:hAnsi="Times New Roman" w:cs="Times New Roman"/>
          <w:sz w:val="24"/>
          <w:szCs w:val="24"/>
        </w:rPr>
        <w:t>Roma, 4</w:t>
      </w:r>
      <w:r w:rsidRPr="0033308B">
        <w:rPr>
          <w:rFonts w:ascii="Times New Roman" w:hAnsi="Times New Roman" w:cs="Times New Roman"/>
          <w:sz w:val="24"/>
          <w:szCs w:val="24"/>
        </w:rPr>
        <w:t xml:space="preserve"> aprile 2014  </w:t>
      </w:r>
    </w:p>
    <w:p w:rsidR="00EA39FF" w:rsidRDefault="00EA39FF"/>
    <w:sectPr w:rsidR="00EA39FF">
      <w:headerReference w:type="even" r:id="rId5"/>
      <w:headerReference w:type="default" r:id="rId6"/>
      <w:footerReference w:type="even" r:id="rId7"/>
      <w:footerReference w:type="default" r:id="rId8"/>
      <w:headerReference w:type="first" r:id="rId9"/>
      <w:footerReference w:type="first" r:id="rId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8A" w:rsidRDefault="00BC25C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8A" w:rsidRDefault="00BC25C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8A" w:rsidRDefault="00BC25CB">
    <w:pPr>
      <w:pStyle w:val="Pidipa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8A" w:rsidRDefault="00BC25C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8A" w:rsidRDefault="00BC25C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8A" w:rsidRDefault="00BC25C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439"/>
    <w:rsid w:val="006F1439"/>
    <w:rsid w:val="00BC25CB"/>
    <w:rsid w:val="00EA39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1439"/>
    <w:pPr>
      <w:spacing w:after="200" w:line="276" w:lineRule="auto"/>
    </w:pPr>
    <w:rPr>
      <w:rFonts w:asciiTheme="minorHAnsi" w:hAnsiTheme="minorHAns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F1439"/>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6F14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1439"/>
    <w:rPr>
      <w:rFonts w:asciiTheme="minorHAnsi" w:hAnsiTheme="minorHAnsi"/>
      <w:sz w:val="22"/>
    </w:rPr>
  </w:style>
  <w:style w:type="paragraph" w:styleId="Pidipagina">
    <w:name w:val="footer"/>
    <w:basedOn w:val="Normale"/>
    <w:link w:val="PidipaginaCarattere"/>
    <w:uiPriority w:val="99"/>
    <w:unhideWhenUsed/>
    <w:rsid w:val="006F14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1439"/>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1439"/>
    <w:pPr>
      <w:spacing w:after="200" w:line="276" w:lineRule="auto"/>
    </w:pPr>
    <w:rPr>
      <w:rFonts w:asciiTheme="minorHAnsi" w:hAnsiTheme="minorHAns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F1439"/>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6F14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1439"/>
    <w:rPr>
      <w:rFonts w:asciiTheme="minorHAnsi" w:hAnsiTheme="minorHAnsi"/>
      <w:sz w:val="22"/>
    </w:rPr>
  </w:style>
  <w:style w:type="paragraph" w:styleId="Pidipagina">
    <w:name w:val="footer"/>
    <w:basedOn w:val="Normale"/>
    <w:link w:val="PidipaginaCarattere"/>
    <w:uiPriority w:val="99"/>
    <w:unhideWhenUsed/>
    <w:rsid w:val="006F14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143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2014-04-04T12:32:00Z</dcterms:created>
  <dcterms:modified xsi:type="dcterms:W3CDTF">2014-04-04T12:32:00Z</dcterms:modified>
</cp:coreProperties>
</file>